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BC0DBF" w14:textId="77777777" w:rsidR="009C4F79" w:rsidRPr="009C4F79" w:rsidRDefault="009C4F79" w:rsidP="009C4F79">
      <w:pPr>
        <w:spacing w:before="100" w:beforeAutospacing="1" w:after="100" w:afterAutospacing="1" w:line="240" w:lineRule="auto"/>
        <w:jc w:val="center"/>
        <w:outlineLvl w:val="2"/>
        <w:rPr>
          <w:rFonts w:ascii="Times New Roman" w:eastAsia="Times New Roman" w:hAnsi="Times New Roman" w:cs="Times New Roman"/>
          <w:b/>
          <w:bCs/>
          <w:sz w:val="27"/>
          <w:szCs w:val="27"/>
          <w:lang w:eastAsia="uk-UA"/>
        </w:rPr>
      </w:pPr>
      <w:r w:rsidRPr="009C4F79">
        <w:rPr>
          <w:rFonts w:ascii="Times New Roman" w:eastAsia="Times New Roman" w:hAnsi="Times New Roman" w:cs="Times New Roman"/>
          <w:b/>
          <w:bCs/>
          <w:sz w:val="27"/>
          <w:szCs w:val="27"/>
          <w:lang w:eastAsia="uk-UA"/>
        </w:rPr>
        <w:t>Особливості надання послуги з гнучкого приєднання</w:t>
      </w:r>
    </w:p>
    <w:p w14:paraId="22FFDC65" w14:textId="2DDE1A9B" w:rsidR="009C4F79" w:rsidRPr="009C4F79" w:rsidRDefault="009C4F79" w:rsidP="009C4F79">
      <w:pPr>
        <w:spacing w:before="100" w:beforeAutospacing="1" w:after="100" w:afterAutospacing="1" w:line="240" w:lineRule="auto"/>
        <w:jc w:val="both"/>
        <w:rPr>
          <w:rFonts w:ascii="Times New Roman" w:eastAsia="Times New Roman" w:hAnsi="Times New Roman" w:cs="Times New Roman"/>
          <w:sz w:val="24"/>
          <w:szCs w:val="24"/>
          <w:lang w:eastAsia="uk-UA"/>
        </w:rPr>
      </w:pPr>
      <w:r w:rsidRPr="009C4F79">
        <w:rPr>
          <w:rFonts w:ascii="Times New Roman" w:eastAsia="Times New Roman" w:hAnsi="Times New Roman" w:cs="Times New Roman"/>
          <w:sz w:val="24"/>
          <w:szCs w:val="24"/>
          <w:lang w:eastAsia="uk-UA"/>
        </w:rPr>
        <w:t> </w:t>
      </w:r>
      <w:r w:rsidRPr="009C4F79">
        <w:rPr>
          <w:rFonts w:ascii="Times New Roman" w:eastAsia="Times New Roman" w:hAnsi="Times New Roman" w:cs="Times New Roman"/>
          <w:b/>
          <w:bCs/>
          <w:sz w:val="24"/>
          <w:szCs w:val="24"/>
          <w:lang w:eastAsia="uk-UA"/>
        </w:rPr>
        <w:t xml:space="preserve">1. </w:t>
      </w:r>
      <w:r w:rsidRPr="009C4F79">
        <w:rPr>
          <w:rFonts w:ascii="Times New Roman" w:eastAsia="Times New Roman" w:hAnsi="Times New Roman" w:cs="Times New Roman"/>
          <w:sz w:val="24"/>
          <w:szCs w:val="24"/>
          <w:lang w:eastAsia="uk-UA"/>
        </w:rPr>
        <w:t xml:space="preserve">Замовник послуг з нестандартного приєднання потужністю більше 1 МВт з </w:t>
      </w:r>
      <w:proofErr w:type="spellStart"/>
      <w:r w:rsidRPr="009C4F79">
        <w:rPr>
          <w:rFonts w:ascii="Times New Roman" w:eastAsia="Times New Roman" w:hAnsi="Times New Roman" w:cs="Times New Roman"/>
          <w:sz w:val="24"/>
          <w:szCs w:val="24"/>
          <w:lang w:eastAsia="uk-UA"/>
        </w:rPr>
        <w:t>проєктування</w:t>
      </w:r>
      <w:proofErr w:type="spellEnd"/>
      <w:r w:rsidRPr="009C4F79">
        <w:rPr>
          <w:rFonts w:ascii="Times New Roman" w:eastAsia="Times New Roman" w:hAnsi="Times New Roman" w:cs="Times New Roman"/>
          <w:sz w:val="24"/>
          <w:szCs w:val="24"/>
          <w:lang w:eastAsia="uk-UA"/>
        </w:rPr>
        <w:t xml:space="preserve"> та виконанням будівельно-монтажних, пусконалагоджувальних робіт із створення потужності на напрузі в тоці приєднання 20 кВ та вище після набрання чинності технічних умов на приєднання на підставі розробленої </w:t>
      </w:r>
      <w:proofErr w:type="spellStart"/>
      <w:r w:rsidRPr="009C4F79">
        <w:rPr>
          <w:rFonts w:ascii="Times New Roman" w:eastAsia="Times New Roman" w:hAnsi="Times New Roman" w:cs="Times New Roman"/>
          <w:sz w:val="24"/>
          <w:szCs w:val="24"/>
          <w:lang w:eastAsia="uk-UA"/>
        </w:rPr>
        <w:t>проєктної</w:t>
      </w:r>
      <w:proofErr w:type="spellEnd"/>
      <w:r w:rsidRPr="009C4F79">
        <w:rPr>
          <w:rFonts w:ascii="Times New Roman" w:eastAsia="Times New Roman" w:hAnsi="Times New Roman" w:cs="Times New Roman"/>
          <w:sz w:val="24"/>
          <w:szCs w:val="24"/>
          <w:lang w:eastAsia="uk-UA"/>
        </w:rPr>
        <w:t xml:space="preserve"> документації має право звернутися до ОСР щодо застосування гнучкого приєднання та відповідного внесення відповідних змін до технічних умов на приєднання на постійній або тимчасовій основі (до виконання відповідних технічних заходів).</w:t>
      </w:r>
    </w:p>
    <w:p w14:paraId="1A2F9E33" w14:textId="3CAF83AD" w:rsidR="009C4F79" w:rsidRPr="009C4F79" w:rsidRDefault="009C4F79" w:rsidP="009C4F79">
      <w:pPr>
        <w:spacing w:before="100" w:beforeAutospacing="1" w:after="100" w:afterAutospacing="1" w:line="240" w:lineRule="auto"/>
        <w:jc w:val="both"/>
        <w:rPr>
          <w:rFonts w:ascii="Times New Roman" w:eastAsia="Times New Roman" w:hAnsi="Times New Roman" w:cs="Times New Roman"/>
          <w:sz w:val="24"/>
          <w:szCs w:val="24"/>
          <w:lang w:eastAsia="uk-UA"/>
        </w:rPr>
      </w:pPr>
      <w:r w:rsidRPr="009C4F79">
        <w:rPr>
          <w:rFonts w:ascii="Times New Roman" w:eastAsia="Times New Roman" w:hAnsi="Times New Roman" w:cs="Times New Roman"/>
          <w:sz w:val="24"/>
          <w:szCs w:val="24"/>
          <w:lang w:eastAsia="uk-UA"/>
        </w:rPr>
        <w:t> </w:t>
      </w:r>
      <w:r w:rsidRPr="009C4F79">
        <w:rPr>
          <w:rFonts w:ascii="Times New Roman" w:eastAsia="Times New Roman" w:hAnsi="Times New Roman" w:cs="Times New Roman"/>
          <w:b/>
          <w:bCs/>
          <w:sz w:val="24"/>
          <w:szCs w:val="24"/>
          <w:lang w:eastAsia="uk-UA"/>
        </w:rPr>
        <w:t xml:space="preserve">2. </w:t>
      </w:r>
      <w:r w:rsidRPr="009C4F79">
        <w:rPr>
          <w:rFonts w:ascii="Times New Roman" w:eastAsia="Times New Roman" w:hAnsi="Times New Roman" w:cs="Times New Roman"/>
          <w:sz w:val="24"/>
          <w:szCs w:val="24"/>
          <w:lang w:eastAsia="uk-UA"/>
        </w:rPr>
        <w:t>Для можливості застосування ОСР гнучкого приєднання мають виконуватися такі умови:</w:t>
      </w:r>
    </w:p>
    <w:p w14:paraId="2FD4DA67" w14:textId="31D75BBB" w:rsidR="009C4F79" w:rsidRPr="009C4F79" w:rsidRDefault="009C4F79" w:rsidP="009C4F79">
      <w:pPr>
        <w:pStyle w:val="a5"/>
        <w:numPr>
          <w:ilvl w:val="0"/>
          <w:numId w:val="3"/>
        </w:numPr>
        <w:spacing w:before="100" w:beforeAutospacing="1" w:after="100" w:afterAutospacing="1" w:line="240" w:lineRule="auto"/>
        <w:ind w:left="0" w:firstLine="360"/>
        <w:jc w:val="both"/>
        <w:rPr>
          <w:rFonts w:ascii="Times New Roman" w:eastAsia="Times New Roman" w:hAnsi="Times New Roman" w:cs="Times New Roman"/>
          <w:sz w:val="24"/>
          <w:szCs w:val="24"/>
          <w:lang w:eastAsia="uk-UA"/>
        </w:rPr>
      </w:pPr>
      <w:r w:rsidRPr="009C4F79">
        <w:rPr>
          <w:rFonts w:ascii="Times New Roman" w:eastAsia="Times New Roman" w:hAnsi="Times New Roman" w:cs="Times New Roman"/>
          <w:sz w:val="24"/>
          <w:szCs w:val="24"/>
          <w:lang w:eastAsia="uk-UA"/>
        </w:rPr>
        <w:t xml:space="preserve">величина замовленої до приєднання потужності (негарантованої) знаходиться в межах негарантованого резерву потужності </w:t>
      </w:r>
      <w:proofErr w:type="spellStart"/>
      <w:r w:rsidRPr="009C4F79">
        <w:rPr>
          <w:rFonts w:ascii="Times New Roman" w:eastAsia="Times New Roman" w:hAnsi="Times New Roman" w:cs="Times New Roman"/>
          <w:sz w:val="24"/>
          <w:szCs w:val="24"/>
          <w:lang w:eastAsia="uk-UA"/>
        </w:rPr>
        <w:t>енерговузла</w:t>
      </w:r>
      <w:proofErr w:type="spellEnd"/>
      <w:r w:rsidRPr="009C4F79">
        <w:rPr>
          <w:rFonts w:ascii="Times New Roman" w:eastAsia="Times New Roman" w:hAnsi="Times New Roman" w:cs="Times New Roman"/>
          <w:sz w:val="24"/>
          <w:szCs w:val="24"/>
          <w:lang w:eastAsia="uk-UA"/>
        </w:rPr>
        <w:t>, від якого планується здійснити приєднання електроустановки;</w:t>
      </w:r>
    </w:p>
    <w:p w14:paraId="13CB6D06" w14:textId="7DCE2BF2" w:rsidR="009C4F79" w:rsidRPr="009C4F79" w:rsidRDefault="009C4F79" w:rsidP="009C4F79">
      <w:pPr>
        <w:pStyle w:val="a5"/>
        <w:numPr>
          <w:ilvl w:val="0"/>
          <w:numId w:val="3"/>
        </w:numPr>
        <w:spacing w:before="100" w:beforeAutospacing="1" w:after="100" w:afterAutospacing="1" w:line="240" w:lineRule="auto"/>
        <w:ind w:left="0" w:firstLine="360"/>
        <w:jc w:val="both"/>
        <w:rPr>
          <w:rFonts w:ascii="Times New Roman" w:eastAsia="Times New Roman" w:hAnsi="Times New Roman" w:cs="Times New Roman"/>
          <w:sz w:val="24"/>
          <w:szCs w:val="24"/>
          <w:lang w:eastAsia="uk-UA"/>
        </w:rPr>
      </w:pPr>
      <w:r w:rsidRPr="009C4F79">
        <w:rPr>
          <w:rFonts w:ascii="Times New Roman" w:eastAsia="Times New Roman" w:hAnsi="Times New Roman" w:cs="Times New Roman"/>
          <w:sz w:val="24"/>
          <w:szCs w:val="24"/>
          <w:lang w:eastAsia="uk-UA"/>
        </w:rPr>
        <w:t>сума величин замовленої до приєднання потужності (негарантованої) та замовленої до приєднання потужності (гарантованої) відповідає величині замовленої до приєднання потужності відповідного напрямку, що зазначена замовником у заяві про приєднання та технічних умовах на приєднання.</w:t>
      </w:r>
    </w:p>
    <w:p w14:paraId="7E223D38" w14:textId="77777777" w:rsidR="009C4F79" w:rsidRPr="009C4F79" w:rsidRDefault="009C4F79" w:rsidP="009C4F79">
      <w:pPr>
        <w:spacing w:before="100" w:beforeAutospacing="1" w:after="100" w:afterAutospacing="1" w:line="240" w:lineRule="auto"/>
        <w:ind w:firstLine="567"/>
        <w:jc w:val="both"/>
        <w:rPr>
          <w:rFonts w:ascii="Times New Roman" w:eastAsia="Times New Roman" w:hAnsi="Times New Roman" w:cs="Times New Roman"/>
          <w:sz w:val="24"/>
          <w:szCs w:val="24"/>
          <w:lang w:eastAsia="uk-UA"/>
        </w:rPr>
      </w:pPr>
      <w:r w:rsidRPr="009C4F79">
        <w:rPr>
          <w:rFonts w:ascii="Times New Roman" w:eastAsia="Times New Roman" w:hAnsi="Times New Roman" w:cs="Times New Roman"/>
          <w:sz w:val="24"/>
          <w:szCs w:val="24"/>
          <w:lang w:eastAsia="uk-UA"/>
        </w:rPr>
        <w:t>У разі надходження від замовника до ОСР заяви щодо застосування гнучкого приєднання та виконання умов, встановлених Законом та цим Кодексом, ОСР не має права відмовити замовнику у внесенні змін до технічних умов на приєднання стосовно застосування гнучкого приєднання.</w:t>
      </w:r>
    </w:p>
    <w:p w14:paraId="6E34AD70" w14:textId="345B55BF" w:rsidR="009C4F79" w:rsidRPr="009C4F79" w:rsidRDefault="009C4F79" w:rsidP="009C4F79">
      <w:pPr>
        <w:spacing w:before="100" w:beforeAutospacing="1" w:after="100" w:afterAutospacing="1" w:line="240" w:lineRule="auto"/>
        <w:jc w:val="both"/>
        <w:rPr>
          <w:rFonts w:ascii="Times New Roman" w:eastAsia="Times New Roman" w:hAnsi="Times New Roman" w:cs="Times New Roman"/>
          <w:sz w:val="24"/>
          <w:szCs w:val="24"/>
          <w:lang w:eastAsia="uk-UA"/>
        </w:rPr>
      </w:pPr>
      <w:r w:rsidRPr="009C4F79">
        <w:rPr>
          <w:rFonts w:ascii="Times New Roman" w:eastAsia="Times New Roman" w:hAnsi="Times New Roman" w:cs="Times New Roman"/>
          <w:sz w:val="24"/>
          <w:szCs w:val="24"/>
          <w:lang w:eastAsia="uk-UA"/>
        </w:rPr>
        <w:t> </w:t>
      </w:r>
      <w:r w:rsidRPr="009C4F79">
        <w:rPr>
          <w:rFonts w:ascii="Times New Roman" w:eastAsia="Times New Roman" w:hAnsi="Times New Roman" w:cs="Times New Roman"/>
          <w:b/>
          <w:bCs/>
          <w:sz w:val="24"/>
          <w:szCs w:val="24"/>
          <w:lang w:eastAsia="uk-UA"/>
        </w:rPr>
        <w:t>3.</w:t>
      </w:r>
      <w:r w:rsidRPr="009C4F79">
        <w:rPr>
          <w:rFonts w:ascii="Times New Roman" w:eastAsia="Times New Roman" w:hAnsi="Times New Roman" w:cs="Times New Roman"/>
          <w:sz w:val="24"/>
          <w:szCs w:val="24"/>
          <w:lang w:eastAsia="uk-UA"/>
        </w:rPr>
        <w:t xml:space="preserve"> У цьому випадку ОСР вносить зміни до технічних умов на приєднання, якими передбачає:</w:t>
      </w:r>
    </w:p>
    <w:p w14:paraId="75EE8557" w14:textId="2DB7E2A0" w:rsidR="009C4F79" w:rsidRPr="009C4F79" w:rsidRDefault="009C4F79" w:rsidP="009C4F79">
      <w:pPr>
        <w:pStyle w:val="a5"/>
        <w:numPr>
          <w:ilvl w:val="0"/>
          <w:numId w:val="2"/>
        </w:numPr>
        <w:spacing w:before="100" w:beforeAutospacing="1" w:after="100" w:afterAutospacing="1" w:line="240" w:lineRule="auto"/>
        <w:ind w:left="0" w:firstLine="360"/>
        <w:jc w:val="both"/>
        <w:rPr>
          <w:rFonts w:ascii="Times New Roman" w:eastAsia="Times New Roman" w:hAnsi="Times New Roman" w:cs="Times New Roman"/>
          <w:sz w:val="24"/>
          <w:szCs w:val="24"/>
          <w:lang w:eastAsia="uk-UA"/>
        </w:rPr>
      </w:pPr>
      <w:r w:rsidRPr="009C4F79">
        <w:rPr>
          <w:rFonts w:ascii="Times New Roman" w:eastAsia="Times New Roman" w:hAnsi="Times New Roman" w:cs="Times New Roman"/>
          <w:sz w:val="24"/>
          <w:szCs w:val="24"/>
          <w:lang w:eastAsia="uk-UA"/>
        </w:rPr>
        <w:t>коригування у частині вимог (технічних заходів), які необхідно виконати в мережах ОСР/ОСП (за необхідності);</w:t>
      </w:r>
    </w:p>
    <w:p w14:paraId="5A7E61DA" w14:textId="1B4E0C3E" w:rsidR="009C4F79" w:rsidRPr="009C4F79" w:rsidRDefault="009C4F79" w:rsidP="009C4F79">
      <w:pPr>
        <w:pStyle w:val="a5"/>
        <w:numPr>
          <w:ilvl w:val="0"/>
          <w:numId w:val="2"/>
        </w:numPr>
        <w:spacing w:before="100" w:beforeAutospacing="1" w:after="100" w:afterAutospacing="1" w:line="240" w:lineRule="auto"/>
        <w:ind w:left="0" w:firstLine="360"/>
        <w:jc w:val="both"/>
        <w:rPr>
          <w:rFonts w:ascii="Times New Roman" w:eastAsia="Times New Roman" w:hAnsi="Times New Roman" w:cs="Times New Roman"/>
          <w:sz w:val="24"/>
          <w:szCs w:val="24"/>
          <w:lang w:eastAsia="uk-UA"/>
        </w:rPr>
      </w:pPr>
      <w:r w:rsidRPr="009C4F79">
        <w:rPr>
          <w:rFonts w:ascii="Times New Roman" w:eastAsia="Times New Roman" w:hAnsi="Times New Roman" w:cs="Times New Roman"/>
          <w:sz w:val="24"/>
          <w:szCs w:val="24"/>
          <w:lang w:eastAsia="uk-UA"/>
        </w:rPr>
        <w:t>величину замовленої до приєднання потужності (негарантованої) тимчасової та/або постійної;</w:t>
      </w:r>
    </w:p>
    <w:p w14:paraId="3D7CBCCA" w14:textId="3DDC3652" w:rsidR="009C4F79" w:rsidRPr="009C4F79" w:rsidRDefault="009C4F79" w:rsidP="009C4F79">
      <w:pPr>
        <w:pStyle w:val="a5"/>
        <w:numPr>
          <w:ilvl w:val="0"/>
          <w:numId w:val="2"/>
        </w:numPr>
        <w:spacing w:before="100" w:beforeAutospacing="1" w:after="100" w:afterAutospacing="1" w:line="240" w:lineRule="auto"/>
        <w:ind w:left="0" w:firstLine="360"/>
        <w:jc w:val="both"/>
        <w:rPr>
          <w:rFonts w:ascii="Times New Roman" w:eastAsia="Times New Roman" w:hAnsi="Times New Roman" w:cs="Times New Roman"/>
          <w:sz w:val="24"/>
          <w:szCs w:val="24"/>
          <w:lang w:eastAsia="uk-UA"/>
        </w:rPr>
      </w:pPr>
      <w:r w:rsidRPr="009C4F79">
        <w:rPr>
          <w:rFonts w:ascii="Times New Roman" w:eastAsia="Times New Roman" w:hAnsi="Times New Roman" w:cs="Times New Roman"/>
          <w:sz w:val="24"/>
          <w:szCs w:val="24"/>
          <w:lang w:eastAsia="uk-UA"/>
        </w:rPr>
        <w:t>тривалість гнучкого приєднання (постійно та/або на період виконання відповідних технічних заходів для збільшення пропускної спроможності електричних мереж);</w:t>
      </w:r>
    </w:p>
    <w:p w14:paraId="75636DFE" w14:textId="0B81B622" w:rsidR="009C4F79" w:rsidRPr="009C4F79" w:rsidRDefault="009C4F79" w:rsidP="009C4F79">
      <w:pPr>
        <w:pStyle w:val="a5"/>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uk-UA"/>
        </w:rPr>
      </w:pPr>
      <w:r w:rsidRPr="009C4F79">
        <w:rPr>
          <w:rFonts w:ascii="Times New Roman" w:eastAsia="Times New Roman" w:hAnsi="Times New Roman" w:cs="Times New Roman"/>
          <w:sz w:val="24"/>
          <w:szCs w:val="24"/>
          <w:lang w:eastAsia="uk-UA"/>
        </w:rPr>
        <w:t>необхідність та вимоги щодо встановлення автоматики гнучкого приєднання;</w:t>
      </w:r>
    </w:p>
    <w:p w14:paraId="027F9699" w14:textId="4D1E2CF5" w:rsidR="009C4F79" w:rsidRPr="009C4F79" w:rsidRDefault="009C4F79" w:rsidP="009C4F79">
      <w:pPr>
        <w:pStyle w:val="a5"/>
        <w:numPr>
          <w:ilvl w:val="0"/>
          <w:numId w:val="2"/>
        </w:numPr>
        <w:spacing w:before="100" w:beforeAutospacing="1" w:after="100" w:afterAutospacing="1" w:line="240" w:lineRule="auto"/>
        <w:ind w:left="0" w:firstLine="360"/>
        <w:jc w:val="both"/>
        <w:rPr>
          <w:rFonts w:ascii="Times New Roman" w:eastAsia="Times New Roman" w:hAnsi="Times New Roman" w:cs="Times New Roman"/>
          <w:sz w:val="24"/>
          <w:szCs w:val="24"/>
          <w:lang w:eastAsia="uk-UA"/>
        </w:rPr>
      </w:pPr>
      <w:r w:rsidRPr="009C4F79">
        <w:rPr>
          <w:rFonts w:ascii="Times New Roman" w:eastAsia="Times New Roman" w:hAnsi="Times New Roman" w:cs="Times New Roman"/>
          <w:sz w:val="24"/>
          <w:szCs w:val="24"/>
          <w:lang w:eastAsia="uk-UA"/>
        </w:rPr>
        <w:t>технічних заходів, що мають бути виконані ОСР/ОСП відповідно до ПРСР/Плану розвитку системи передачі для отримання всієї величини замовленої до приєднання потужності (гарантованої) та строку їх виконання (для гнучкого приєднання на тимчасовій основі).</w:t>
      </w:r>
    </w:p>
    <w:p w14:paraId="73C11FA8" w14:textId="77777777" w:rsidR="009C4F79" w:rsidRPr="009C4F79" w:rsidRDefault="009C4F79" w:rsidP="009C4F79">
      <w:pPr>
        <w:spacing w:before="100" w:beforeAutospacing="1" w:after="100" w:afterAutospacing="1" w:line="240" w:lineRule="auto"/>
        <w:ind w:firstLine="567"/>
        <w:jc w:val="both"/>
        <w:rPr>
          <w:rFonts w:ascii="Times New Roman" w:eastAsia="Times New Roman" w:hAnsi="Times New Roman" w:cs="Times New Roman"/>
          <w:sz w:val="24"/>
          <w:szCs w:val="24"/>
          <w:lang w:eastAsia="uk-UA"/>
        </w:rPr>
      </w:pPr>
      <w:r w:rsidRPr="009C4F79">
        <w:rPr>
          <w:rFonts w:ascii="Times New Roman" w:eastAsia="Times New Roman" w:hAnsi="Times New Roman" w:cs="Times New Roman"/>
          <w:sz w:val="24"/>
          <w:szCs w:val="24"/>
          <w:lang w:eastAsia="uk-UA"/>
        </w:rPr>
        <w:t>Тривалість гнучкого приєднання на тимчасовій основі встановлюється до виконання технічних заходів, необхідних для отримання замовником всієї величини замовленої до приєднання потужності (гарантованої), згідно з ПРСР/Планом розвитку системи передачі та/або тривалістю виконання технічних заходів у рамках надання послуги з приєднання згідно з вимогами цієї глави.</w:t>
      </w:r>
    </w:p>
    <w:p w14:paraId="52E85317" w14:textId="77777777" w:rsidR="009C4F79" w:rsidRPr="009C4F79" w:rsidRDefault="009C4F79" w:rsidP="009C4F79">
      <w:pPr>
        <w:spacing w:before="100" w:beforeAutospacing="1" w:after="100" w:afterAutospacing="1" w:line="240" w:lineRule="auto"/>
        <w:ind w:firstLine="567"/>
        <w:jc w:val="both"/>
        <w:rPr>
          <w:rFonts w:ascii="Times New Roman" w:eastAsia="Times New Roman" w:hAnsi="Times New Roman" w:cs="Times New Roman"/>
          <w:sz w:val="24"/>
          <w:szCs w:val="24"/>
          <w:lang w:eastAsia="uk-UA"/>
        </w:rPr>
      </w:pPr>
      <w:r w:rsidRPr="009C4F79">
        <w:rPr>
          <w:rFonts w:ascii="Times New Roman" w:eastAsia="Times New Roman" w:hAnsi="Times New Roman" w:cs="Times New Roman"/>
          <w:sz w:val="24"/>
          <w:szCs w:val="24"/>
          <w:lang w:eastAsia="uk-UA"/>
        </w:rPr>
        <w:t>У разі якщо в ПРСР/Плані розвитку системи передачі не передбачено технічні заходи, необхідні для отримання замовником всієї величини замовленої до приєднання потужності (гарантованої), ОСР/ОСП передбачає ці технічні заходи у технічних умовах на приєднання електроустановок замовника до електричних мереж. Зазначені технічні заходи можуть бути виконані у рамках надання послуги з приєднання згідно з вимогами цієї глави.</w:t>
      </w:r>
    </w:p>
    <w:p w14:paraId="35C868DB" w14:textId="77777777" w:rsidR="009C4F79" w:rsidRPr="009C4F79" w:rsidRDefault="009C4F79" w:rsidP="009C4F79">
      <w:pPr>
        <w:spacing w:before="100" w:beforeAutospacing="1" w:after="100" w:afterAutospacing="1" w:line="240" w:lineRule="auto"/>
        <w:ind w:firstLine="567"/>
        <w:jc w:val="both"/>
        <w:rPr>
          <w:rFonts w:ascii="Times New Roman" w:eastAsia="Times New Roman" w:hAnsi="Times New Roman" w:cs="Times New Roman"/>
          <w:sz w:val="24"/>
          <w:szCs w:val="24"/>
          <w:lang w:eastAsia="uk-UA"/>
        </w:rPr>
      </w:pPr>
      <w:r w:rsidRPr="009C4F79">
        <w:rPr>
          <w:rFonts w:ascii="Times New Roman" w:eastAsia="Times New Roman" w:hAnsi="Times New Roman" w:cs="Times New Roman"/>
          <w:sz w:val="24"/>
          <w:szCs w:val="24"/>
          <w:lang w:eastAsia="uk-UA"/>
        </w:rPr>
        <w:t>У разі гнучкого приєднання ОСР у технічних умовах на приєднання розділяє комплекс вимог (технічних заходів), реалізація яких необхідна для отримання замовником величини замовленої до приєднання такими окремими чергами, зокрема, для отримання:</w:t>
      </w:r>
    </w:p>
    <w:p w14:paraId="646B68AE" w14:textId="47A7F3A7" w:rsidR="009C4F79" w:rsidRPr="009C4F79" w:rsidRDefault="009C4F79" w:rsidP="009C4F79">
      <w:pPr>
        <w:pStyle w:val="a5"/>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uk-UA"/>
        </w:rPr>
      </w:pPr>
      <w:r w:rsidRPr="009C4F79">
        <w:rPr>
          <w:rFonts w:ascii="Times New Roman" w:eastAsia="Times New Roman" w:hAnsi="Times New Roman" w:cs="Times New Roman"/>
          <w:sz w:val="24"/>
          <w:szCs w:val="24"/>
          <w:lang w:eastAsia="uk-UA"/>
        </w:rPr>
        <w:lastRenderedPageBreak/>
        <w:t>величини замовленої до приєднання потужності (гарантованої) постійної;</w:t>
      </w:r>
    </w:p>
    <w:p w14:paraId="079BD439" w14:textId="02553EDE" w:rsidR="009C4F79" w:rsidRPr="009C4F79" w:rsidRDefault="009C4F79" w:rsidP="009C4F79">
      <w:pPr>
        <w:pStyle w:val="a5"/>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uk-UA"/>
        </w:rPr>
      </w:pPr>
      <w:r w:rsidRPr="009C4F79">
        <w:rPr>
          <w:rFonts w:ascii="Times New Roman" w:eastAsia="Times New Roman" w:hAnsi="Times New Roman" w:cs="Times New Roman"/>
          <w:sz w:val="24"/>
          <w:szCs w:val="24"/>
          <w:lang w:eastAsia="uk-UA"/>
        </w:rPr>
        <w:t>величини замовленої до приєднання потужності (негарантованої) постійної;</w:t>
      </w:r>
    </w:p>
    <w:p w14:paraId="00294F99" w14:textId="400EA69C" w:rsidR="009C4F79" w:rsidRPr="009C4F79" w:rsidRDefault="009C4F79" w:rsidP="009C4F79">
      <w:pPr>
        <w:pStyle w:val="a5"/>
        <w:numPr>
          <w:ilvl w:val="0"/>
          <w:numId w:val="2"/>
        </w:numPr>
        <w:spacing w:before="100" w:beforeAutospacing="1" w:after="100" w:afterAutospacing="1" w:line="240" w:lineRule="auto"/>
        <w:ind w:left="0" w:firstLine="360"/>
        <w:jc w:val="both"/>
        <w:rPr>
          <w:rFonts w:ascii="Times New Roman" w:eastAsia="Times New Roman" w:hAnsi="Times New Roman" w:cs="Times New Roman"/>
          <w:sz w:val="24"/>
          <w:szCs w:val="24"/>
          <w:lang w:eastAsia="uk-UA"/>
        </w:rPr>
      </w:pPr>
      <w:r w:rsidRPr="009C4F79">
        <w:rPr>
          <w:rFonts w:ascii="Times New Roman" w:eastAsia="Times New Roman" w:hAnsi="Times New Roman" w:cs="Times New Roman"/>
          <w:sz w:val="24"/>
          <w:szCs w:val="24"/>
          <w:lang w:eastAsia="uk-UA"/>
        </w:rPr>
        <w:t>величини замовленої до приєднання потужності (негарантованої) тимчасової (за наявності).</w:t>
      </w:r>
    </w:p>
    <w:p w14:paraId="4BDF5F99" w14:textId="77777777" w:rsidR="009C4F79" w:rsidRPr="009C4F79" w:rsidRDefault="009C4F79" w:rsidP="009C4F79">
      <w:pPr>
        <w:spacing w:before="100" w:beforeAutospacing="1" w:after="100" w:afterAutospacing="1" w:line="240" w:lineRule="auto"/>
        <w:ind w:firstLine="567"/>
        <w:jc w:val="both"/>
        <w:rPr>
          <w:rFonts w:ascii="Times New Roman" w:eastAsia="Times New Roman" w:hAnsi="Times New Roman" w:cs="Times New Roman"/>
          <w:sz w:val="24"/>
          <w:szCs w:val="24"/>
          <w:lang w:eastAsia="uk-UA"/>
        </w:rPr>
      </w:pPr>
      <w:r w:rsidRPr="009C4F79">
        <w:rPr>
          <w:rFonts w:ascii="Times New Roman" w:eastAsia="Times New Roman" w:hAnsi="Times New Roman" w:cs="Times New Roman"/>
          <w:sz w:val="24"/>
          <w:szCs w:val="24"/>
          <w:lang w:eastAsia="uk-UA"/>
        </w:rPr>
        <w:t>Протягом 10 календарних днів з дня отримання звернення від замовника про застосування гнучкого приєднання ОСР надає такому замовнику додаткову угоду про внесення змін до договору про приєднання та технічних умов на приєднання, скоригований розрахунок вартості плати за приєднання до електричних мереж та рахунок на сплату плати за приєднання (за необхідності) через особистий кабінет замовника, на електронну адресу та, у разі наявності в заяві про приєднання відповідної відмітки – на поштову адресу, або надає письмову мотивовану відмову із зазначенням підстав невідповідності вимогам підпунктів 4.3.13.1 та 4.3.13.2 цього пункту.</w:t>
      </w:r>
    </w:p>
    <w:p w14:paraId="21C96134" w14:textId="12E433A7" w:rsidR="009C4F79" w:rsidRPr="009C4F79" w:rsidRDefault="009C4F79" w:rsidP="009C4F79">
      <w:pPr>
        <w:spacing w:before="100" w:beforeAutospacing="1" w:after="100" w:afterAutospacing="1" w:line="240" w:lineRule="auto"/>
        <w:jc w:val="both"/>
        <w:rPr>
          <w:rFonts w:ascii="Times New Roman" w:eastAsia="Times New Roman" w:hAnsi="Times New Roman" w:cs="Times New Roman"/>
          <w:sz w:val="24"/>
          <w:szCs w:val="24"/>
          <w:lang w:eastAsia="uk-UA"/>
        </w:rPr>
      </w:pPr>
      <w:r w:rsidRPr="009C4F79">
        <w:rPr>
          <w:rFonts w:ascii="Times New Roman" w:eastAsia="Times New Roman" w:hAnsi="Times New Roman" w:cs="Times New Roman"/>
          <w:sz w:val="24"/>
          <w:szCs w:val="24"/>
          <w:lang w:eastAsia="uk-UA"/>
        </w:rPr>
        <w:t> </w:t>
      </w:r>
      <w:r w:rsidRPr="009C4F79">
        <w:rPr>
          <w:rFonts w:ascii="Times New Roman" w:eastAsia="Times New Roman" w:hAnsi="Times New Roman" w:cs="Times New Roman"/>
          <w:b/>
          <w:bCs/>
          <w:sz w:val="24"/>
          <w:szCs w:val="24"/>
          <w:lang w:eastAsia="uk-UA"/>
        </w:rPr>
        <w:t xml:space="preserve">4. </w:t>
      </w:r>
      <w:r w:rsidRPr="009C4F79">
        <w:rPr>
          <w:rFonts w:ascii="Times New Roman" w:eastAsia="Times New Roman" w:hAnsi="Times New Roman" w:cs="Times New Roman"/>
          <w:sz w:val="24"/>
          <w:szCs w:val="24"/>
          <w:lang w:eastAsia="uk-UA"/>
        </w:rPr>
        <w:t>Автоматика гнучкого приєднання має передбачати:</w:t>
      </w:r>
    </w:p>
    <w:p w14:paraId="45A2BE4A" w14:textId="5E7C36FD" w:rsidR="009C4F79" w:rsidRPr="009C4F79" w:rsidRDefault="009C4F79" w:rsidP="009C4F79">
      <w:pPr>
        <w:pStyle w:val="a5"/>
        <w:numPr>
          <w:ilvl w:val="0"/>
          <w:numId w:val="1"/>
        </w:numPr>
        <w:spacing w:before="100" w:beforeAutospacing="1" w:after="100" w:afterAutospacing="1" w:line="240" w:lineRule="auto"/>
        <w:ind w:left="0" w:firstLine="360"/>
        <w:jc w:val="both"/>
        <w:rPr>
          <w:rFonts w:ascii="Times New Roman" w:eastAsia="Times New Roman" w:hAnsi="Times New Roman" w:cs="Times New Roman"/>
          <w:sz w:val="24"/>
          <w:szCs w:val="24"/>
          <w:lang w:eastAsia="uk-UA"/>
        </w:rPr>
      </w:pPr>
      <w:r w:rsidRPr="009C4F79">
        <w:rPr>
          <w:rFonts w:ascii="Times New Roman" w:eastAsia="Times New Roman" w:hAnsi="Times New Roman" w:cs="Times New Roman"/>
          <w:sz w:val="24"/>
          <w:szCs w:val="24"/>
          <w:lang w:eastAsia="uk-UA"/>
        </w:rPr>
        <w:t xml:space="preserve">інформування Користувача про наближення (90 % та більше) параметрів роботи </w:t>
      </w:r>
      <w:proofErr w:type="spellStart"/>
      <w:r w:rsidRPr="009C4F79">
        <w:rPr>
          <w:rFonts w:ascii="Times New Roman" w:eastAsia="Times New Roman" w:hAnsi="Times New Roman" w:cs="Times New Roman"/>
          <w:sz w:val="24"/>
          <w:szCs w:val="24"/>
          <w:lang w:eastAsia="uk-UA"/>
        </w:rPr>
        <w:t>енерговузла</w:t>
      </w:r>
      <w:proofErr w:type="spellEnd"/>
      <w:r w:rsidRPr="009C4F79">
        <w:rPr>
          <w:rFonts w:ascii="Times New Roman" w:eastAsia="Times New Roman" w:hAnsi="Times New Roman" w:cs="Times New Roman"/>
          <w:sz w:val="24"/>
          <w:szCs w:val="24"/>
          <w:lang w:eastAsia="uk-UA"/>
        </w:rPr>
        <w:t xml:space="preserve"> до меж операційної безпеки, викликаних перевантаженням елементів такого </w:t>
      </w:r>
      <w:proofErr w:type="spellStart"/>
      <w:r w:rsidRPr="009C4F79">
        <w:rPr>
          <w:rFonts w:ascii="Times New Roman" w:eastAsia="Times New Roman" w:hAnsi="Times New Roman" w:cs="Times New Roman"/>
          <w:sz w:val="24"/>
          <w:szCs w:val="24"/>
          <w:lang w:eastAsia="uk-UA"/>
        </w:rPr>
        <w:t>енерговузла</w:t>
      </w:r>
      <w:proofErr w:type="spellEnd"/>
      <w:r w:rsidRPr="009C4F79">
        <w:rPr>
          <w:rFonts w:ascii="Times New Roman" w:eastAsia="Times New Roman" w:hAnsi="Times New Roman" w:cs="Times New Roman"/>
          <w:sz w:val="24"/>
          <w:szCs w:val="24"/>
          <w:lang w:eastAsia="uk-UA"/>
        </w:rPr>
        <w:t>;</w:t>
      </w:r>
    </w:p>
    <w:p w14:paraId="0F6AF1C8" w14:textId="6F60E300" w:rsidR="009C4F79" w:rsidRPr="009C4F79" w:rsidRDefault="009C4F79" w:rsidP="009C4F79">
      <w:pPr>
        <w:pStyle w:val="a5"/>
        <w:numPr>
          <w:ilvl w:val="0"/>
          <w:numId w:val="1"/>
        </w:numPr>
        <w:spacing w:before="100" w:beforeAutospacing="1" w:after="100" w:afterAutospacing="1" w:line="240" w:lineRule="auto"/>
        <w:ind w:left="0" w:firstLine="360"/>
        <w:jc w:val="both"/>
        <w:rPr>
          <w:rFonts w:ascii="Times New Roman" w:eastAsia="Times New Roman" w:hAnsi="Times New Roman" w:cs="Times New Roman"/>
          <w:sz w:val="24"/>
          <w:szCs w:val="24"/>
          <w:lang w:eastAsia="uk-UA"/>
        </w:rPr>
      </w:pPr>
      <w:r w:rsidRPr="009C4F79">
        <w:rPr>
          <w:rFonts w:ascii="Times New Roman" w:eastAsia="Times New Roman" w:hAnsi="Times New Roman" w:cs="Times New Roman"/>
          <w:sz w:val="24"/>
          <w:szCs w:val="24"/>
          <w:lang w:eastAsia="uk-UA"/>
        </w:rPr>
        <w:t xml:space="preserve">регулювання величини відпуску та/або відбору електричної енергії в межах величини дозволеної (договірної) потужності негарантованої у разі наближення (90 % та більше) параметрів роботи </w:t>
      </w:r>
      <w:proofErr w:type="spellStart"/>
      <w:r w:rsidRPr="009C4F79">
        <w:rPr>
          <w:rFonts w:ascii="Times New Roman" w:eastAsia="Times New Roman" w:hAnsi="Times New Roman" w:cs="Times New Roman"/>
          <w:sz w:val="24"/>
          <w:szCs w:val="24"/>
          <w:lang w:eastAsia="uk-UA"/>
        </w:rPr>
        <w:t>енерговузла</w:t>
      </w:r>
      <w:proofErr w:type="spellEnd"/>
      <w:r w:rsidRPr="009C4F79">
        <w:rPr>
          <w:rFonts w:ascii="Times New Roman" w:eastAsia="Times New Roman" w:hAnsi="Times New Roman" w:cs="Times New Roman"/>
          <w:sz w:val="24"/>
          <w:szCs w:val="24"/>
          <w:lang w:eastAsia="uk-UA"/>
        </w:rPr>
        <w:t xml:space="preserve"> до меж операційної безпеки, викликаних перевантаженням елементів такого </w:t>
      </w:r>
      <w:proofErr w:type="spellStart"/>
      <w:r w:rsidRPr="009C4F79">
        <w:rPr>
          <w:rFonts w:ascii="Times New Roman" w:eastAsia="Times New Roman" w:hAnsi="Times New Roman" w:cs="Times New Roman"/>
          <w:sz w:val="24"/>
          <w:szCs w:val="24"/>
          <w:lang w:eastAsia="uk-UA"/>
        </w:rPr>
        <w:t>енерговузла</w:t>
      </w:r>
      <w:proofErr w:type="spellEnd"/>
      <w:r w:rsidRPr="009C4F79">
        <w:rPr>
          <w:rFonts w:ascii="Times New Roman" w:eastAsia="Times New Roman" w:hAnsi="Times New Roman" w:cs="Times New Roman"/>
          <w:sz w:val="24"/>
          <w:szCs w:val="24"/>
          <w:lang w:eastAsia="uk-UA"/>
        </w:rPr>
        <w:t>;</w:t>
      </w:r>
    </w:p>
    <w:p w14:paraId="14CA316B" w14:textId="41858401" w:rsidR="009C4F79" w:rsidRPr="009C4F79" w:rsidRDefault="009C4F79" w:rsidP="009C4F79">
      <w:pPr>
        <w:pStyle w:val="a5"/>
        <w:numPr>
          <w:ilvl w:val="0"/>
          <w:numId w:val="1"/>
        </w:numPr>
        <w:spacing w:before="100" w:beforeAutospacing="1" w:after="100" w:afterAutospacing="1" w:line="240" w:lineRule="auto"/>
        <w:ind w:left="0" w:firstLine="360"/>
        <w:jc w:val="both"/>
        <w:rPr>
          <w:rFonts w:ascii="Times New Roman" w:eastAsia="Times New Roman" w:hAnsi="Times New Roman" w:cs="Times New Roman"/>
          <w:sz w:val="24"/>
          <w:szCs w:val="24"/>
          <w:lang w:eastAsia="uk-UA"/>
        </w:rPr>
      </w:pPr>
      <w:r w:rsidRPr="009C4F79">
        <w:rPr>
          <w:rFonts w:ascii="Times New Roman" w:eastAsia="Times New Roman" w:hAnsi="Times New Roman" w:cs="Times New Roman"/>
          <w:sz w:val="24"/>
          <w:szCs w:val="24"/>
          <w:lang w:eastAsia="uk-UA"/>
        </w:rPr>
        <w:t xml:space="preserve">автоматичне відключення електроустановок у межах величини дозволеної (договірної) потужності негарантованої у разі перевищення параметрів роботи </w:t>
      </w:r>
      <w:proofErr w:type="spellStart"/>
      <w:r w:rsidRPr="009C4F79">
        <w:rPr>
          <w:rFonts w:ascii="Times New Roman" w:eastAsia="Times New Roman" w:hAnsi="Times New Roman" w:cs="Times New Roman"/>
          <w:sz w:val="24"/>
          <w:szCs w:val="24"/>
          <w:lang w:eastAsia="uk-UA"/>
        </w:rPr>
        <w:t>енерговузла</w:t>
      </w:r>
      <w:proofErr w:type="spellEnd"/>
      <w:r w:rsidRPr="009C4F79">
        <w:rPr>
          <w:rFonts w:ascii="Times New Roman" w:eastAsia="Times New Roman" w:hAnsi="Times New Roman" w:cs="Times New Roman"/>
          <w:sz w:val="24"/>
          <w:szCs w:val="24"/>
          <w:lang w:eastAsia="uk-UA"/>
        </w:rPr>
        <w:t xml:space="preserve"> за межі операційної безпеки, викликаних перевантаженням елементів такого </w:t>
      </w:r>
      <w:proofErr w:type="spellStart"/>
      <w:r w:rsidRPr="009C4F79">
        <w:rPr>
          <w:rFonts w:ascii="Times New Roman" w:eastAsia="Times New Roman" w:hAnsi="Times New Roman" w:cs="Times New Roman"/>
          <w:sz w:val="24"/>
          <w:szCs w:val="24"/>
          <w:lang w:eastAsia="uk-UA"/>
        </w:rPr>
        <w:t>енерговузла</w:t>
      </w:r>
      <w:proofErr w:type="spellEnd"/>
      <w:r w:rsidRPr="009C4F79">
        <w:rPr>
          <w:rFonts w:ascii="Times New Roman" w:eastAsia="Times New Roman" w:hAnsi="Times New Roman" w:cs="Times New Roman"/>
          <w:sz w:val="24"/>
          <w:szCs w:val="24"/>
          <w:lang w:eastAsia="uk-UA"/>
        </w:rPr>
        <w:t>;</w:t>
      </w:r>
    </w:p>
    <w:p w14:paraId="2BD68C58" w14:textId="749A12CF" w:rsidR="009C4F79" w:rsidRPr="009C4F79" w:rsidRDefault="009C4F79" w:rsidP="009C4F79">
      <w:pPr>
        <w:pStyle w:val="a5"/>
        <w:numPr>
          <w:ilvl w:val="0"/>
          <w:numId w:val="1"/>
        </w:numPr>
        <w:spacing w:before="100" w:beforeAutospacing="1" w:after="100" w:afterAutospacing="1" w:line="240" w:lineRule="auto"/>
        <w:ind w:left="0" w:firstLine="360"/>
        <w:jc w:val="both"/>
        <w:rPr>
          <w:rFonts w:ascii="Times New Roman" w:eastAsia="Times New Roman" w:hAnsi="Times New Roman" w:cs="Times New Roman"/>
          <w:sz w:val="24"/>
          <w:szCs w:val="24"/>
          <w:lang w:eastAsia="uk-UA"/>
        </w:rPr>
      </w:pPr>
      <w:r w:rsidRPr="009C4F79">
        <w:rPr>
          <w:rFonts w:ascii="Times New Roman" w:eastAsia="Times New Roman" w:hAnsi="Times New Roman" w:cs="Times New Roman"/>
          <w:sz w:val="24"/>
          <w:szCs w:val="24"/>
          <w:lang w:eastAsia="uk-UA"/>
        </w:rPr>
        <w:t>інформування Користувача про режими роботи автоматики гнучкого приєднання в режимі реального часу;</w:t>
      </w:r>
    </w:p>
    <w:p w14:paraId="29D8A553" w14:textId="6EFC584F" w:rsidR="009C4F79" w:rsidRPr="009C4F79" w:rsidRDefault="009C4F79" w:rsidP="009C4F79">
      <w:pPr>
        <w:pStyle w:val="a5"/>
        <w:numPr>
          <w:ilvl w:val="0"/>
          <w:numId w:val="1"/>
        </w:numPr>
        <w:spacing w:before="100" w:beforeAutospacing="1" w:after="100" w:afterAutospacing="1" w:line="240" w:lineRule="auto"/>
        <w:ind w:left="0" w:firstLine="360"/>
        <w:jc w:val="both"/>
        <w:rPr>
          <w:rFonts w:ascii="Times New Roman" w:eastAsia="Times New Roman" w:hAnsi="Times New Roman" w:cs="Times New Roman"/>
          <w:sz w:val="24"/>
          <w:szCs w:val="24"/>
          <w:lang w:eastAsia="uk-UA"/>
        </w:rPr>
      </w:pPr>
      <w:r w:rsidRPr="009C4F79">
        <w:rPr>
          <w:rFonts w:ascii="Times New Roman" w:eastAsia="Times New Roman" w:hAnsi="Times New Roman" w:cs="Times New Roman"/>
          <w:sz w:val="24"/>
          <w:szCs w:val="24"/>
          <w:lang w:eastAsia="uk-UA"/>
        </w:rPr>
        <w:t>передачу інформації ОСР про режими роботи автоматики гнучкого приєднання, надані Користувачу команди в режимі реального часу;</w:t>
      </w:r>
    </w:p>
    <w:p w14:paraId="1614A462" w14:textId="3AC6821E" w:rsidR="009C4F79" w:rsidRPr="009C4F79" w:rsidRDefault="009C4F79" w:rsidP="009C4F79">
      <w:pPr>
        <w:pStyle w:val="a5"/>
        <w:numPr>
          <w:ilvl w:val="0"/>
          <w:numId w:val="1"/>
        </w:numPr>
        <w:spacing w:before="100" w:beforeAutospacing="1" w:after="100" w:afterAutospacing="1" w:line="240" w:lineRule="auto"/>
        <w:ind w:left="0" w:firstLine="360"/>
        <w:jc w:val="both"/>
        <w:rPr>
          <w:rFonts w:ascii="Times New Roman" w:eastAsia="Times New Roman" w:hAnsi="Times New Roman" w:cs="Times New Roman"/>
          <w:sz w:val="24"/>
          <w:szCs w:val="24"/>
          <w:lang w:eastAsia="uk-UA"/>
        </w:rPr>
      </w:pPr>
      <w:r w:rsidRPr="009C4F79">
        <w:rPr>
          <w:rFonts w:ascii="Times New Roman" w:eastAsia="Times New Roman" w:hAnsi="Times New Roman" w:cs="Times New Roman"/>
          <w:sz w:val="24"/>
          <w:szCs w:val="24"/>
          <w:lang w:eastAsia="uk-UA"/>
        </w:rPr>
        <w:t xml:space="preserve">обмеження величини відпуску та/або відбору електричної потужності в межах величин дозволеної (договірної) потужності негарантованої Користувачів, що приєднані у цьому </w:t>
      </w:r>
      <w:proofErr w:type="spellStart"/>
      <w:r w:rsidRPr="009C4F79">
        <w:rPr>
          <w:rFonts w:ascii="Times New Roman" w:eastAsia="Times New Roman" w:hAnsi="Times New Roman" w:cs="Times New Roman"/>
          <w:sz w:val="24"/>
          <w:szCs w:val="24"/>
          <w:lang w:eastAsia="uk-UA"/>
        </w:rPr>
        <w:t>енерговузлі</w:t>
      </w:r>
      <w:proofErr w:type="spellEnd"/>
      <w:r w:rsidRPr="009C4F79">
        <w:rPr>
          <w:rFonts w:ascii="Times New Roman" w:eastAsia="Times New Roman" w:hAnsi="Times New Roman" w:cs="Times New Roman"/>
          <w:sz w:val="24"/>
          <w:szCs w:val="24"/>
          <w:lang w:eastAsia="uk-UA"/>
        </w:rPr>
        <w:t xml:space="preserve"> за процедурою гнучкого приєднання. Черговість обмеження визначається згідно з датою укладання договору про приєднання, починаючи з останнього.</w:t>
      </w:r>
    </w:p>
    <w:p w14:paraId="747EE61D" w14:textId="2EF54852" w:rsidR="009C4F79" w:rsidRPr="009C4F79" w:rsidRDefault="009C4F79" w:rsidP="009C4F79">
      <w:pPr>
        <w:spacing w:before="100" w:beforeAutospacing="1" w:after="100" w:afterAutospacing="1" w:line="240" w:lineRule="auto"/>
        <w:jc w:val="both"/>
        <w:rPr>
          <w:rFonts w:ascii="Times New Roman" w:eastAsia="Times New Roman" w:hAnsi="Times New Roman" w:cs="Times New Roman"/>
          <w:sz w:val="24"/>
          <w:szCs w:val="24"/>
          <w:lang w:eastAsia="uk-UA"/>
        </w:rPr>
      </w:pPr>
      <w:r w:rsidRPr="009C4F79">
        <w:rPr>
          <w:rFonts w:ascii="Times New Roman" w:eastAsia="Times New Roman" w:hAnsi="Times New Roman" w:cs="Times New Roman"/>
          <w:sz w:val="24"/>
          <w:szCs w:val="24"/>
          <w:lang w:eastAsia="uk-UA"/>
        </w:rPr>
        <w:t> </w:t>
      </w:r>
      <w:r w:rsidRPr="009C4F79">
        <w:rPr>
          <w:rFonts w:ascii="Times New Roman" w:eastAsia="Times New Roman" w:hAnsi="Times New Roman" w:cs="Times New Roman"/>
          <w:b/>
          <w:bCs/>
          <w:sz w:val="24"/>
          <w:szCs w:val="24"/>
          <w:lang w:eastAsia="uk-UA"/>
        </w:rPr>
        <w:t xml:space="preserve">5. </w:t>
      </w:r>
      <w:r w:rsidRPr="009C4F79">
        <w:rPr>
          <w:rFonts w:ascii="Times New Roman" w:eastAsia="Times New Roman" w:hAnsi="Times New Roman" w:cs="Times New Roman"/>
          <w:sz w:val="24"/>
          <w:szCs w:val="24"/>
          <w:lang w:eastAsia="uk-UA"/>
        </w:rPr>
        <w:t>ОСР має забезпечити опломбування елементів автоматики гнучкого приєднання, встановлених у мережах Користувача, що впливають на алгоритм роботи цієї автоматики та на отримані команди. Замовник (Користувач) має право встановити пломби на елементах автоматики гнучкого приєднання, що розташовані на обладнанні електричних мереж ОСР, та впливають на точність роботи цієї автоматики.</w:t>
      </w:r>
    </w:p>
    <w:p w14:paraId="434EECA8" w14:textId="77777777" w:rsidR="009C4F79" w:rsidRPr="009C4F79" w:rsidRDefault="009C4F79" w:rsidP="009C4F79">
      <w:pPr>
        <w:spacing w:before="100" w:beforeAutospacing="1" w:after="100" w:afterAutospacing="1" w:line="240" w:lineRule="auto"/>
        <w:ind w:firstLine="567"/>
        <w:jc w:val="both"/>
        <w:rPr>
          <w:rFonts w:ascii="Times New Roman" w:eastAsia="Times New Roman" w:hAnsi="Times New Roman" w:cs="Times New Roman"/>
          <w:sz w:val="24"/>
          <w:szCs w:val="24"/>
          <w:lang w:eastAsia="uk-UA"/>
        </w:rPr>
      </w:pPr>
      <w:r w:rsidRPr="009C4F79">
        <w:rPr>
          <w:rFonts w:ascii="Times New Roman" w:eastAsia="Times New Roman" w:hAnsi="Times New Roman" w:cs="Times New Roman"/>
          <w:sz w:val="24"/>
          <w:szCs w:val="24"/>
          <w:lang w:eastAsia="uk-UA"/>
        </w:rPr>
        <w:t>Замовник (Користувач) не має права втручатися в елементи автоматики гнучкого приєднання та роботу технічних засобів у точці приєднання для реалізації автоматичного відключення електроустановок або регулювання величини відпуску та/або відбору електричної енергії при роботі автоматики гнучкого приєднання, встановлених у мережах Користувача, що впливають на алгоритм роботи цієї автоматики та на отримані команди.</w:t>
      </w:r>
    </w:p>
    <w:p w14:paraId="4EE4AD5F" w14:textId="579E5A8B" w:rsidR="009C4F79" w:rsidRPr="009C4F79" w:rsidRDefault="009C4F79" w:rsidP="009C4F79">
      <w:pPr>
        <w:spacing w:before="100" w:beforeAutospacing="1" w:after="100" w:afterAutospacing="1" w:line="240" w:lineRule="auto"/>
        <w:jc w:val="both"/>
        <w:rPr>
          <w:rFonts w:ascii="Times New Roman" w:eastAsia="Times New Roman" w:hAnsi="Times New Roman" w:cs="Times New Roman"/>
          <w:sz w:val="24"/>
          <w:szCs w:val="24"/>
          <w:lang w:eastAsia="uk-UA"/>
        </w:rPr>
      </w:pPr>
      <w:r w:rsidRPr="009C4F79">
        <w:rPr>
          <w:rFonts w:ascii="Times New Roman" w:eastAsia="Times New Roman" w:hAnsi="Times New Roman" w:cs="Times New Roman"/>
          <w:sz w:val="24"/>
          <w:szCs w:val="24"/>
          <w:lang w:eastAsia="uk-UA"/>
        </w:rPr>
        <w:t> </w:t>
      </w:r>
      <w:r w:rsidRPr="009C4F79">
        <w:rPr>
          <w:rFonts w:ascii="Times New Roman" w:eastAsia="Times New Roman" w:hAnsi="Times New Roman" w:cs="Times New Roman"/>
          <w:b/>
          <w:bCs/>
          <w:sz w:val="24"/>
          <w:szCs w:val="24"/>
          <w:lang w:eastAsia="uk-UA"/>
        </w:rPr>
        <w:t xml:space="preserve">6. </w:t>
      </w:r>
      <w:r w:rsidRPr="009C4F79">
        <w:rPr>
          <w:rFonts w:ascii="Times New Roman" w:eastAsia="Times New Roman" w:hAnsi="Times New Roman" w:cs="Times New Roman"/>
          <w:sz w:val="24"/>
          <w:szCs w:val="24"/>
          <w:lang w:eastAsia="uk-UA"/>
        </w:rPr>
        <w:t>Елементи автоматики гнучкого приєднання, що встановлені у мережах ОСР (до межі балансової належності) мають перебувати у власності ОСР, а елементи, що встановлені у мережах замовника (Користувача) (після межі балансової належності) мають перебувати у власності такого Користувача.</w:t>
      </w:r>
    </w:p>
    <w:p w14:paraId="35DBF918" w14:textId="77777777" w:rsidR="009C4F79" w:rsidRPr="009C4F79" w:rsidRDefault="009C4F79" w:rsidP="009C4F79">
      <w:pPr>
        <w:spacing w:before="100" w:beforeAutospacing="1" w:after="100" w:afterAutospacing="1" w:line="240" w:lineRule="auto"/>
        <w:ind w:firstLine="567"/>
        <w:jc w:val="both"/>
        <w:rPr>
          <w:rFonts w:ascii="Times New Roman" w:eastAsia="Times New Roman" w:hAnsi="Times New Roman" w:cs="Times New Roman"/>
          <w:sz w:val="24"/>
          <w:szCs w:val="24"/>
          <w:lang w:eastAsia="uk-UA"/>
        </w:rPr>
      </w:pPr>
      <w:r w:rsidRPr="009C4F79">
        <w:rPr>
          <w:rFonts w:ascii="Times New Roman" w:eastAsia="Times New Roman" w:hAnsi="Times New Roman" w:cs="Times New Roman"/>
          <w:sz w:val="24"/>
          <w:szCs w:val="24"/>
          <w:lang w:eastAsia="uk-UA"/>
        </w:rPr>
        <w:t xml:space="preserve">ОСР має право здійснювати контроль за належною роботою елементів автоматики гнучкого приєднання, що знаходяться у власності Користувача, за допомого власних </w:t>
      </w:r>
      <w:r w:rsidRPr="009C4F79">
        <w:rPr>
          <w:rFonts w:ascii="Times New Roman" w:eastAsia="Times New Roman" w:hAnsi="Times New Roman" w:cs="Times New Roman"/>
          <w:sz w:val="24"/>
          <w:szCs w:val="24"/>
          <w:lang w:eastAsia="uk-UA"/>
        </w:rPr>
        <w:lastRenderedPageBreak/>
        <w:t xml:space="preserve">інформаційно-технічних засобів. У разі виявлення факту неналежної роботи елементів автоматики гнучкого приєднання, що знаходяться у власності Користувача, ОСР надає Користувачу акт-вимогу щодо усунення виявлених </w:t>
      </w:r>
      <w:proofErr w:type="spellStart"/>
      <w:r w:rsidRPr="009C4F79">
        <w:rPr>
          <w:rFonts w:ascii="Times New Roman" w:eastAsia="Times New Roman" w:hAnsi="Times New Roman" w:cs="Times New Roman"/>
          <w:sz w:val="24"/>
          <w:szCs w:val="24"/>
          <w:lang w:eastAsia="uk-UA"/>
        </w:rPr>
        <w:t>невідповідностей</w:t>
      </w:r>
      <w:proofErr w:type="spellEnd"/>
      <w:r w:rsidRPr="009C4F79">
        <w:rPr>
          <w:rFonts w:ascii="Times New Roman" w:eastAsia="Times New Roman" w:hAnsi="Times New Roman" w:cs="Times New Roman"/>
          <w:sz w:val="24"/>
          <w:szCs w:val="24"/>
          <w:lang w:eastAsia="uk-UA"/>
        </w:rPr>
        <w:t xml:space="preserve"> із зазначенням строку його усунення, який не може становити менше 30 календарних днів. Користувач зобов’язаний усунути виявлені ОСР недоліки у роботі елементів автоматики гнучкого приєднання, що знаходяться у власності такого Користувача, приєднання у строк, зазначений в акті-</w:t>
      </w:r>
      <w:proofErr w:type="spellStart"/>
      <w:r w:rsidRPr="009C4F79">
        <w:rPr>
          <w:rFonts w:ascii="Times New Roman" w:eastAsia="Times New Roman" w:hAnsi="Times New Roman" w:cs="Times New Roman"/>
          <w:sz w:val="24"/>
          <w:szCs w:val="24"/>
          <w:lang w:eastAsia="uk-UA"/>
        </w:rPr>
        <w:t>вимозі</w:t>
      </w:r>
      <w:proofErr w:type="spellEnd"/>
      <w:r w:rsidRPr="009C4F79">
        <w:rPr>
          <w:rFonts w:ascii="Times New Roman" w:eastAsia="Times New Roman" w:hAnsi="Times New Roman" w:cs="Times New Roman"/>
          <w:sz w:val="24"/>
          <w:szCs w:val="24"/>
          <w:lang w:eastAsia="uk-UA"/>
        </w:rPr>
        <w:t>.</w:t>
      </w:r>
    </w:p>
    <w:p w14:paraId="52EFD08E" w14:textId="77777777" w:rsidR="009C4F79" w:rsidRPr="009C4F79" w:rsidRDefault="009C4F79" w:rsidP="009C4F79">
      <w:pPr>
        <w:spacing w:before="100" w:beforeAutospacing="1" w:after="100" w:afterAutospacing="1" w:line="240" w:lineRule="auto"/>
        <w:ind w:firstLine="567"/>
        <w:jc w:val="both"/>
        <w:rPr>
          <w:rFonts w:ascii="Times New Roman" w:eastAsia="Times New Roman" w:hAnsi="Times New Roman" w:cs="Times New Roman"/>
          <w:sz w:val="24"/>
          <w:szCs w:val="24"/>
          <w:lang w:eastAsia="uk-UA"/>
        </w:rPr>
      </w:pPr>
      <w:r w:rsidRPr="009C4F79">
        <w:rPr>
          <w:rFonts w:ascii="Times New Roman" w:eastAsia="Times New Roman" w:hAnsi="Times New Roman" w:cs="Times New Roman"/>
          <w:sz w:val="24"/>
          <w:szCs w:val="24"/>
          <w:lang w:eastAsia="uk-UA"/>
        </w:rPr>
        <w:t xml:space="preserve">У разі невиконання Користувачем </w:t>
      </w:r>
      <w:proofErr w:type="spellStart"/>
      <w:r w:rsidRPr="009C4F79">
        <w:rPr>
          <w:rFonts w:ascii="Times New Roman" w:eastAsia="Times New Roman" w:hAnsi="Times New Roman" w:cs="Times New Roman"/>
          <w:sz w:val="24"/>
          <w:szCs w:val="24"/>
          <w:lang w:eastAsia="uk-UA"/>
        </w:rPr>
        <w:t>акта</w:t>
      </w:r>
      <w:proofErr w:type="spellEnd"/>
      <w:r w:rsidRPr="009C4F79">
        <w:rPr>
          <w:rFonts w:ascii="Times New Roman" w:eastAsia="Times New Roman" w:hAnsi="Times New Roman" w:cs="Times New Roman"/>
          <w:sz w:val="24"/>
          <w:szCs w:val="24"/>
          <w:lang w:eastAsia="uk-UA"/>
        </w:rPr>
        <w:t>-вимоги ОСР зобов’язаний обмежити такому Користувачу розподіл електричної до рівня гарантованої потужності.</w:t>
      </w:r>
    </w:p>
    <w:p w14:paraId="5520B253" w14:textId="77777777" w:rsidR="009C4F79" w:rsidRPr="009C4F79" w:rsidRDefault="009C4F79" w:rsidP="009C4F79">
      <w:pPr>
        <w:spacing w:before="100" w:beforeAutospacing="1" w:after="100" w:afterAutospacing="1" w:line="240" w:lineRule="auto"/>
        <w:ind w:firstLine="567"/>
        <w:jc w:val="both"/>
        <w:rPr>
          <w:rFonts w:ascii="Times New Roman" w:eastAsia="Times New Roman" w:hAnsi="Times New Roman" w:cs="Times New Roman"/>
          <w:sz w:val="24"/>
          <w:szCs w:val="24"/>
          <w:lang w:eastAsia="uk-UA"/>
        </w:rPr>
      </w:pPr>
      <w:r w:rsidRPr="009C4F79">
        <w:rPr>
          <w:rFonts w:ascii="Times New Roman" w:eastAsia="Times New Roman" w:hAnsi="Times New Roman" w:cs="Times New Roman"/>
          <w:sz w:val="24"/>
          <w:szCs w:val="24"/>
          <w:lang w:eastAsia="uk-UA"/>
        </w:rPr>
        <w:t>Технічне обслуговування та усунення виявлених ОСР недоліків у роботі елементів автоматики гнучкого приєднання, що знаходяться у власності ОСР, здійснюється ОСР за попереднім повідомленням Користувача.</w:t>
      </w:r>
    </w:p>
    <w:p w14:paraId="7C1D4B24" w14:textId="71046E45" w:rsidR="009C4F79" w:rsidRPr="009C4F79" w:rsidRDefault="009C4F79" w:rsidP="009C4F79">
      <w:pPr>
        <w:spacing w:before="100" w:beforeAutospacing="1" w:after="100" w:afterAutospacing="1" w:line="240" w:lineRule="auto"/>
        <w:jc w:val="both"/>
        <w:rPr>
          <w:rFonts w:ascii="Times New Roman" w:eastAsia="Times New Roman" w:hAnsi="Times New Roman" w:cs="Times New Roman"/>
          <w:sz w:val="24"/>
          <w:szCs w:val="24"/>
          <w:lang w:eastAsia="uk-UA"/>
        </w:rPr>
      </w:pPr>
      <w:r w:rsidRPr="009C4F79">
        <w:rPr>
          <w:rFonts w:ascii="Times New Roman" w:eastAsia="Times New Roman" w:hAnsi="Times New Roman" w:cs="Times New Roman"/>
          <w:sz w:val="24"/>
          <w:szCs w:val="24"/>
          <w:lang w:eastAsia="uk-UA"/>
        </w:rPr>
        <w:t> </w:t>
      </w:r>
      <w:r w:rsidRPr="009C4F79">
        <w:rPr>
          <w:rFonts w:ascii="Times New Roman" w:eastAsia="Times New Roman" w:hAnsi="Times New Roman" w:cs="Times New Roman"/>
          <w:b/>
          <w:bCs/>
          <w:sz w:val="24"/>
          <w:szCs w:val="24"/>
          <w:lang w:eastAsia="uk-UA"/>
        </w:rPr>
        <w:t xml:space="preserve">7. </w:t>
      </w:r>
      <w:r w:rsidRPr="009C4F79">
        <w:rPr>
          <w:rFonts w:ascii="Times New Roman" w:eastAsia="Times New Roman" w:hAnsi="Times New Roman" w:cs="Times New Roman"/>
          <w:sz w:val="24"/>
          <w:szCs w:val="24"/>
          <w:lang w:eastAsia="uk-UA"/>
        </w:rPr>
        <w:t xml:space="preserve">Для розрахунку негарантованого резерву потужності у відповідному </w:t>
      </w:r>
      <w:proofErr w:type="spellStart"/>
      <w:r w:rsidRPr="009C4F79">
        <w:rPr>
          <w:rFonts w:ascii="Times New Roman" w:eastAsia="Times New Roman" w:hAnsi="Times New Roman" w:cs="Times New Roman"/>
          <w:sz w:val="24"/>
          <w:szCs w:val="24"/>
          <w:lang w:eastAsia="uk-UA"/>
        </w:rPr>
        <w:t>енерговузлі</w:t>
      </w:r>
      <w:proofErr w:type="spellEnd"/>
      <w:r w:rsidRPr="009C4F79">
        <w:rPr>
          <w:rFonts w:ascii="Times New Roman" w:eastAsia="Times New Roman" w:hAnsi="Times New Roman" w:cs="Times New Roman"/>
          <w:sz w:val="24"/>
          <w:szCs w:val="24"/>
          <w:lang w:eastAsia="uk-UA"/>
        </w:rPr>
        <w:t xml:space="preserve"> приймаються паспортні дані обладнання електричних мереж та нормальна схема роботи електричних мереж.</w:t>
      </w:r>
    </w:p>
    <w:p w14:paraId="33121C1D" w14:textId="52073CDC" w:rsidR="009C4F79" w:rsidRPr="009C4F79" w:rsidRDefault="009C4F79" w:rsidP="009C4F79">
      <w:pPr>
        <w:spacing w:before="100" w:beforeAutospacing="1" w:after="100" w:afterAutospacing="1" w:line="240" w:lineRule="auto"/>
        <w:jc w:val="both"/>
        <w:rPr>
          <w:rFonts w:ascii="Times New Roman" w:eastAsia="Times New Roman" w:hAnsi="Times New Roman" w:cs="Times New Roman"/>
          <w:sz w:val="24"/>
          <w:szCs w:val="24"/>
          <w:lang w:eastAsia="uk-UA"/>
        </w:rPr>
      </w:pPr>
      <w:r w:rsidRPr="009C4F79">
        <w:rPr>
          <w:rFonts w:ascii="Times New Roman" w:eastAsia="Times New Roman" w:hAnsi="Times New Roman" w:cs="Times New Roman"/>
          <w:sz w:val="24"/>
          <w:szCs w:val="24"/>
          <w:lang w:eastAsia="uk-UA"/>
        </w:rPr>
        <w:t> </w:t>
      </w:r>
      <w:r w:rsidRPr="009C4F79">
        <w:rPr>
          <w:rFonts w:ascii="Times New Roman" w:eastAsia="Times New Roman" w:hAnsi="Times New Roman" w:cs="Times New Roman"/>
          <w:b/>
          <w:bCs/>
          <w:sz w:val="24"/>
          <w:szCs w:val="24"/>
          <w:lang w:eastAsia="uk-UA"/>
        </w:rPr>
        <w:t xml:space="preserve">8. </w:t>
      </w:r>
      <w:r w:rsidRPr="009C4F79">
        <w:rPr>
          <w:rFonts w:ascii="Times New Roman" w:eastAsia="Times New Roman" w:hAnsi="Times New Roman" w:cs="Times New Roman"/>
          <w:sz w:val="24"/>
          <w:szCs w:val="24"/>
          <w:lang w:eastAsia="uk-UA"/>
        </w:rPr>
        <w:t>До завершення послуги з гнучкого приєднання ОСР та замовник мають забезпечити проведення комплексних випробувань автоматики гнучкого приєднання, каналів зв’язку тощо.</w:t>
      </w:r>
    </w:p>
    <w:p w14:paraId="58CD65CA" w14:textId="77777777" w:rsidR="009C4F79" w:rsidRPr="009C4F79" w:rsidRDefault="009C4F79" w:rsidP="009C4F79">
      <w:pPr>
        <w:spacing w:before="100" w:beforeAutospacing="1" w:after="100" w:afterAutospacing="1" w:line="240" w:lineRule="auto"/>
        <w:ind w:firstLine="567"/>
        <w:jc w:val="both"/>
        <w:rPr>
          <w:rFonts w:ascii="Times New Roman" w:eastAsia="Times New Roman" w:hAnsi="Times New Roman" w:cs="Times New Roman"/>
          <w:sz w:val="24"/>
          <w:szCs w:val="24"/>
          <w:lang w:eastAsia="uk-UA"/>
        </w:rPr>
      </w:pPr>
      <w:r w:rsidRPr="009C4F79">
        <w:rPr>
          <w:rFonts w:ascii="Times New Roman" w:eastAsia="Times New Roman" w:hAnsi="Times New Roman" w:cs="Times New Roman"/>
          <w:sz w:val="24"/>
          <w:szCs w:val="24"/>
          <w:lang w:eastAsia="uk-UA"/>
        </w:rPr>
        <w:t>Комплексні випробування автоматики гнучкого приєднання, каналів зв’язку тощо проводяться ОСР у присутності представників замовника та за розробленою ОСР програмою.</w:t>
      </w:r>
    </w:p>
    <w:p w14:paraId="5AC6EDBE" w14:textId="77777777" w:rsidR="009C4F79" w:rsidRPr="009C4F79" w:rsidRDefault="009C4F79" w:rsidP="009C4F79">
      <w:pPr>
        <w:spacing w:before="100" w:beforeAutospacing="1" w:after="100" w:afterAutospacing="1" w:line="240" w:lineRule="auto"/>
        <w:ind w:firstLine="567"/>
        <w:jc w:val="both"/>
        <w:rPr>
          <w:rFonts w:ascii="Times New Roman" w:eastAsia="Times New Roman" w:hAnsi="Times New Roman" w:cs="Times New Roman"/>
          <w:sz w:val="24"/>
          <w:szCs w:val="24"/>
          <w:lang w:eastAsia="uk-UA"/>
        </w:rPr>
      </w:pPr>
      <w:r w:rsidRPr="009C4F79">
        <w:rPr>
          <w:rFonts w:ascii="Times New Roman" w:eastAsia="Times New Roman" w:hAnsi="Times New Roman" w:cs="Times New Roman"/>
          <w:sz w:val="24"/>
          <w:szCs w:val="24"/>
          <w:lang w:eastAsia="uk-UA"/>
        </w:rPr>
        <w:t>За результатами проведення комплексних випробувань автоматики гнучкого приєднання, каналів зв’язку тощо ОСР оформляється звіт, що підписується представниками ОСР та замовника, що брали участь у цих випробуваннях.</w:t>
      </w:r>
    </w:p>
    <w:p w14:paraId="138E178D" w14:textId="4ADA92FE" w:rsidR="009C4F79" w:rsidRPr="009C4F79" w:rsidRDefault="009C4F79" w:rsidP="009C4F79">
      <w:pPr>
        <w:spacing w:before="100" w:beforeAutospacing="1" w:after="100" w:afterAutospacing="1" w:line="240" w:lineRule="auto"/>
        <w:jc w:val="both"/>
        <w:rPr>
          <w:rFonts w:ascii="Times New Roman" w:eastAsia="Times New Roman" w:hAnsi="Times New Roman" w:cs="Times New Roman"/>
          <w:sz w:val="24"/>
          <w:szCs w:val="24"/>
          <w:lang w:eastAsia="uk-UA"/>
        </w:rPr>
      </w:pPr>
      <w:r w:rsidRPr="009C4F79">
        <w:rPr>
          <w:rFonts w:ascii="Times New Roman" w:eastAsia="Times New Roman" w:hAnsi="Times New Roman" w:cs="Times New Roman"/>
          <w:sz w:val="24"/>
          <w:szCs w:val="24"/>
          <w:lang w:eastAsia="uk-UA"/>
        </w:rPr>
        <w:t> </w:t>
      </w:r>
      <w:r w:rsidRPr="009C4F79">
        <w:rPr>
          <w:rFonts w:ascii="Times New Roman" w:eastAsia="Times New Roman" w:hAnsi="Times New Roman" w:cs="Times New Roman"/>
          <w:b/>
          <w:bCs/>
          <w:sz w:val="24"/>
          <w:szCs w:val="24"/>
          <w:lang w:eastAsia="uk-UA"/>
        </w:rPr>
        <w:t xml:space="preserve">9. </w:t>
      </w:r>
      <w:r w:rsidRPr="009C4F79">
        <w:rPr>
          <w:rFonts w:ascii="Times New Roman" w:eastAsia="Times New Roman" w:hAnsi="Times New Roman" w:cs="Times New Roman"/>
          <w:sz w:val="24"/>
          <w:szCs w:val="24"/>
          <w:lang w:eastAsia="uk-UA"/>
        </w:rPr>
        <w:t>ОСР та замовник (Користувач) мають забезпечити протягом календарного року зберігання інформації про режими роботи автоматики гнучкого приєднання, надані Користувачу команди та їх виконання тощо.</w:t>
      </w:r>
    </w:p>
    <w:p w14:paraId="6996B39D" w14:textId="3E4609B1" w:rsidR="009C4F79" w:rsidRPr="009C4F79" w:rsidRDefault="009C4F79" w:rsidP="009C4F79">
      <w:pPr>
        <w:spacing w:before="100" w:beforeAutospacing="1" w:after="100" w:afterAutospacing="1" w:line="240" w:lineRule="auto"/>
        <w:jc w:val="both"/>
        <w:rPr>
          <w:rFonts w:ascii="Times New Roman" w:eastAsia="Times New Roman" w:hAnsi="Times New Roman" w:cs="Times New Roman"/>
          <w:sz w:val="24"/>
          <w:szCs w:val="24"/>
          <w:lang w:eastAsia="uk-UA"/>
        </w:rPr>
      </w:pPr>
      <w:r w:rsidRPr="009C4F79">
        <w:rPr>
          <w:rFonts w:ascii="Times New Roman" w:eastAsia="Times New Roman" w:hAnsi="Times New Roman" w:cs="Times New Roman"/>
          <w:sz w:val="24"/>
          <w:szCs w:val="24"/>
          <w:lang w:eastAsia="uk-UA"/>
        </w:rPr>
        <w:t> </w:t>
      </w:r>
      <w:r w:rsidRPr="009C4F79">
        <w:rPr>
          <w:rFonts w:ascii="Times New Roman" w:eastAsia="Times New Roman" w:hAnsi="Times New Roman" w:cs="Times New Roman"/>
          <w:b/>
          <w:bCs/>
          <w:sz w:val="24"/>
          <w:szCs w:val="24"/>
          <w:lang w:eastAsia="uk-UA"/>
        </w:rPr>
        <w:t xml:space="preserve">10. </w:t>
      </w:r>
      <w:r w:rsidRPr="009C4F79">
        <w:rPr>
          <w:rFonts w:ascii="Times New Roman" w:eastAsia="Times New Roman" w:hAnsi="Times New Roman" w:cs="Times New Roman"/>
          <w:sz w:val="24"/>
          <w:szCs w:val="24"/>
          <w:lang w:eastAsia="uk-UA"/>
        </w:rPr>
        <w:t xml:space="preserve">ОСР зобов’язаний повідомити Користувачів з наявною дозволеною (договірною) потужністю не гарантованою за допомогою електронного зв’язку шляхом направлення їм повідомлень (зокрема через сервіси особистих кабінетів та/або інші електронні платформи, зазначені в договорі про надання послуг з розподілу/передачі електричної енергії) щодо планових (не пізніше ніж за 3 календарні дні до початку їх проведення) робіт в електричних мережах, що можуть вплинути на режим роботи </w:t>
      </w:r>
      <w:proofErr w:type="spellStart"/>
      <w:r w:rsidRPr="009C4F79">
        <w:rPr>
          <w:rFonts w:ascii="Times New Roman" w:eastAsia="Times New Roman" w:hAnsi="Times New Roman" w:cs="Times New Roman"/>
          <w:sz w:val="24"/>
          <w:szCs w:val="24"/>
          <w:lang w:eastAsia="uk-UA"/>
        </w:rPr>
        <w:t>енерговузла</w:t>
      </w:r>
      <w:proofErr w:type="spellEnd"/>
      <w:r w:rsidRPr="009C4F79">
        <w:rPr>
          <w:rFonts w:ascii="Times New Roman" w:eastAsia="Times New Roman" w:hAnsi="Times New Roman" w:cs="Times New Roman"/>
          <w:sz w:val="24"/>
          <w:szCs w:val="24"/>
          <w:lang w:eastAsia="uk-UA"/>
        </w:rPr>
        <w:t xml:space="preserve"> та спричинити відповідні обмеження у наданні послуг з розподілу електричної енергії.</w:t>
      </w:r>
    </w:p>
    <w:p w14:paraId="0B9F9AA8" w14:textId="1FEEA8F7" w:rsidR="00C429F3" w:rsidRDefault="009C4F79" w:rsidP="009C4F79">
      <w:pPr>
        <w:spacing w:before="100" w:beforeAutospacing="1" w:after="100" w:afterAutospacing="1" w:line="240" w:lineRule="auto"/>
        <w:jc w:val="both"/>
      </w:pPr>
      <w:r w:rsidRPr="009C4F79">
        <w:rPr>
          <w:rFonts w:ascii="Times New Roman" w:eastAsia="Times New Roman" w:hAnsi="Times New Roman" w:cs="Times New Roman"/>
          <w:sz w:val="24"/>
          <w:szCs w:val="24"/>
          <w:lang w:eastAsia="uk-UA"/>
        </w:rPr>
        <w:t> </w:t>
      </w:r>
      <w:r w:rsidRPr="009C4F79">
        <w:rPr>
          <w:rFonts w:ascii="Times New Roman" w:eastAsia="Times New Roman" w:hAnsi="Times New Roman" w:cs="Times New Roman"/>
          <w:b/>
          <w:bCs/>
          <w:sz w:val="24"/>
          <w:szCs w:val="24"/>
          <w:lang w:eastAsia="uk-UA"/>
        </w:rPr>
        <w:t xml:space="preserve">11. </w:t>
      </w:r>
      <w:r w:rsidRPr="009C4F79">
        <w:rPr>
          <w:rFonts w:ascii="Times New Roman" w:eastAsia="Times New Roman" w:hAnsi="Times New Roman" w:cs="Times New Roman"/>
          <w:sz w:val="24"/>
          <w:szCs w:val="24"/>
          <w:lang w:eastAsia="uk-UA"/>
        </w:rPr>
        <w:t>ОСР не несе відповідальності перед Користувачами за обмеження величини відпуску та/або відбору електричної потужності в межах величин дозволеної (договірної) потужності негарантованої.</w:t>
      </w:r>
    </w:p>
    <w:sectPr w:rsidR="00C429F3">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D2F39"/>
    <w:multiLevelType w:val="hybridMultilevel"/>
    <w:tmpl w:val="0BEE22CC"/>
    <w:lvl w:ilvl="0" w:tplc="DF8817B6">
      <w:start w:val="3"/>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2DE60F0C"/>
    <w:multiLevelType w:val="hybridMultilevel"/>
    <w:tmpl w:val="1CBA6AA4"/>
    <w:lvl w:ilvl="0" w:tplc="11AA103C">
      <w:start w:val="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6BA56E33"/>
    <w:multiLevelType w:val="hybridMultilevel"/>
    <w:tmpl w:val="888842F2"/>
    <w:lvl w:ilvl="0" w:tplc="FE802AE8">
      <w:start w:val="4"/>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F79"/>
    <w:rsid w:val="009C4F79"/>
    <w:rsid w:val="00C429F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0FE95"/>
  <w15:chartTrackingRefBased/>
  <w15:docId w15:val="{D70D82C2-AA7F-4452-9F1F-DA93AD623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link w:val="30"/>
    <w:uiPriority w:val="9"/>
    <w:qFormat/>
    <w:rsid w:val="009C4F79"/>
    <w:pPr>
      <w:spacing w:before="100" w:beforeAutospacing="1" w:after="100" w:afterAutospacing="1" w:line="240" w:lineRule="auto"/>
      <w:outlineLvl w:val="2"/>
    </w:pPr>
    <w:rPr>
      <w:rFonts w:ascii="Times New Roman" w:eastAsia="Times New Roman" w:hAnsi="Times New Roman" w:cs="Times New Roman"/>
      <w:b/>
      <w:bCs/>
      <w:sz w:val="27"/>
      <w:szCs w:val="27"/>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9C4F79"/>
    <w:rPr>
      <w:rFonts w:ascii="Times New Roman" w:eastAsia="Times New Roman" w:hAnsi="Times New Roman" w:cs="Times New Roman"/>
      <w:b/>
      <w:bCs/>
      <w:sz w:val="27"/>
      <w:szCs w:val="27"/>
      <w:lang w:eastAsia="uk-UA"/>
    </w:rPr>
  </w:style>
  <w:style w:type="character" w:styleId="a3">
    <w:name w:val="Strong"/>
    <w:basedOn w:val="a0"/>
    <w:uiPriority w:val="22"/>
    <w:qFormat/>
    <w:rsid w:val="009C4F79"/>
    <w:rPr>
      <w:b/>
      <w:bCs/>
    </w:rPr>
  </w:style>
  <w:style w:type="paragraph" w:styleId="a4">
    <w:name w:val="Normal (Web)"/>
    <w:basedOn w:val="a"/>
    <w:uiPriority w:val="99"/>
    <w:semiHidden/>
    <w:unhideWhenUsed/>
    <w:rsid w:val="009C4F7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5">
    <w:name w:val="List Paragraph"/>
    <w:basedOn w:val="a"/>
    <w:uiPriority w:val="34"/>
    <w:qFormat/>
    <w:rsid w:val="009C4F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5580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5835</Words>
  <Characters>3327</Characters>
  <Application>Microsoft Office Word</Application>
  <DocSecurity>0</DocSecurity>
  <Lines>27</Lines>
  <Paragraphs>18</Paragraphs>
  <ScaleCrop>false</ScaleCrop>
  <Company/>
  <LinksUpToDate>false</LinksUpToDate>
  <CharactersWithSpaces>9144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dc:creator>
  <cp:keywords/>
  <dc:description/>
  <cp:lastModifiedBy>Olga</cp:lastModifiedBy>
  <cp:revision>1</cp:revision>
  <dcterms:created xsi:type="dcterms:W3CDTF">2026-09-01T11:51:00Z</dcterms:created>
  <dcterms:modified xsi:type="dcterms:W3CDTF">2026-09-01T11:59:00Z</dcterms:modified>
</cp:coreProperties>
</file>